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3CAF">
        <w:rPr>
          <w:rFonts w:ascii="Times New Roman" w:hAnsi="Times New Roman" w:cs="Times New Roman"/>
          <w:b/>
          <w:sz w:val="28"/>
          <w:szCs w:val="28"/>
        </w:rPr>
        <w:t xml:space="preserve">Закон Краснодарского края от 21 июля 2008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C3CAF">
        <w:rPr>
          <w:rFonts w:ascii="Times New Roman" w:hAnsi="Times New Roman" w:cs="Times New Roman"/>
          <w:b/>
          <w:sz w:val="28"/>
          <w:szCs w:val="28"/>
        </w:rPr>
        <w:t xml:space="preserve">1539-КЗ </w:t>
      </w:r>
    </w:p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3CAF">
        <w:rPr>
          <w:rFonts w:ascii="Times New Roman" w:hAnsi="Times New Roman" w:cs="Times New Roman"/>
          <w:b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0E30">
        <w:rPr>
          <w:rFonts w:ascii="Times New Roman" w:hAnsi="Times New Roman" w:cs="Times New Roman"/>
          <w:b/>
          <w:sz w:val="28"/>
          <w:szCs w:val="28"/>
        </w:rPr>
        <w:t>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устанавливает правовую основу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РФ, федеральным законодательством и общепризнанными нормами международного права.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Оговариваются обязанности в указанной сфере деятельности органов и учреждений, осуществляющих профилактику безнадзорности и правонарушений несовершеннолетних, определен порядок взаимодействия каждого из указанных органов и учреждений с другими звеньями системы профилактики безнадзорности и правонарушений несовершеннолетних при выявлении безнадзорных, беспризорных несовершеннолетних или несовершеннолетних, находящихся в социально опасном положении либо проживающих в неблагополучных семьях.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 (приводится неисчерпывающий перечень таких мест и критерии ночного времени для разных возрастных групп), учащихся в учебное время - в интернет-залах, игровых клубах, кафе, барах, ресторанах, кинотеатрах, развлекательных комплексах и иных развлекательных заведениях, за исключением специально организованных учебными заведениями в учебное время культпоходов.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 xml:space="preserve">Несовершеннолетние не должны допускаться к участию в конкурсах красоты, к посещению игорных заведений, предприятий общественного питания, в которых подают алкогольные напитки и пиво, а также </w:t>
      </w:r>
      <w:r w:rsidRPr="005C3CAF">
        <w:rPr>
          <w:rFonts w:ascii="Times New Roman" w:hAnsi="Times New Roman" w:cs="Times New Roman"/>
          <w:sz w:val="28"/>
          <w:szCs w:val="28"/>
        </w:rPr>
        <w:lastRenderedPageBreak/>
        <w:t>организаций, которые осуществляют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Специальные меры ответственности за нарушение норм Закона не оговорены (органы власти субъектов Федерации не обладают полномочиями по установлению мер административной или иной ответственности в данной сфере правового регулирования). Согласно Закону, ответственность за нарушение его положений наступает в случаях и порядке, предусмотренных федеральным законодательством.</w:t>
      </w:r>
    </w:p>
    <w:p w:rsidR="00CF6104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вступил в силу по истечении 10 дней со дня опубликования в газете "Кубанские новости", N 120 от 22 июля 2008 г.</w:t>
      </w:r>
    </w:p>
    <w:p w:rsid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CAF" w:rsidRPr="005C3CAF" w:rsidRDefault="004F00EE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C3CAF" w:rsidRPr="005C3CAF">
          <w:rPr>
            <w:rStyle w:val="a3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3CAF" w:rsidRPr="005C3CAF" w:rsidSect="00E6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2"/>
  </w:compat>
  <w:rsids>
    <w:rsidRoot w:val="00752A76"/>
    <w:rsid w:val="0016092B"/>
    <w:rsid w:val="004F00EE"/>
    <w:rsid w:val="005C3CAF"/>
    <w:rsid w:val="00752A76"/>
    <w:rsid w:val="00A63792"/>
    <w:rsid w:val="00CF6104"/>
    <w:rsid w:val="00E60A52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1E5B-87BF-4D11-8242-E5E77C2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Филоновы</cp:lastModifiedBy>
  <cp:revision>2</cp:revision>
  <dcterms:created xsi:type="dcterms:W3CDTF">2020-06-28T20:17:00Z</dcterms:created>
  <dcterms:modified xsi:type="dcterms:W3CDTF">2020-06-28T20:17:00Z</dcterms:modified>
</cp:coreProperties>
</file>